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B72D37">
              <w:rPr>
                <w:lang w:val="sr-Cyrl-RS"/>
              </w:rPr>
              <w:t>26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F16A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6F16A6" w:rsidRDefault="00B72D37" w:rsidP="007E0C9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Слободно падање тела, бестежинско стање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FD0A3E" w:rsidRDefault="00F53662" w:rsidP="009326A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FD0A3E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 w:rsidRPr="00FD0A3E">
              <w:rPr>
                <w:rFonts w:cstheme="minorHAnsi"/>
                <w:sz w:val="20"/>
                <w:szCs w:val="20"/>
                <w:lang w:val="sr-Cyrl-RS"/>
              </w:rPr>
              <w:t>а ученици</w:t>
            </w:r>
            <w:r w:rsidRPr="00FD0A3E">
              <w:rPr>
                <w:rFonts w:cstheme="minorHAnsi"/>
                <w:sz w:val="20"/>
                <w:szCs w:val="20"/>
                <w:lang w:val="sr-Cyrl-RS"/>
              </w:rPr>
              <w:t xml:space="preserve"> се упознају са појмом слободног пада тела</w:t>
            </w:r>
            <w:r w:rsidR="00FD0A3E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F53662" w:rsidRPr="00FD0A3E" w:rsidRDefault="00F53662" w:rsidP="009326A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FD0A3E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6F16A6" w:rsidRPr="00FD0A3E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Pr="00FD0A3E">
              <w:rPr>
                <w:rFonts w:cstheme="minorHAnsi"/>
                <w:sz w:val="20"/>
                <w:szCs w:val="20"/>
                <w:lang w:val="sr-Cyrl-RS"/>
              </w:rPr>
              <w:t>разумеју да је</w:t>
            </w:r>
            <w:r w:rsidR="00FD0A3E">
              <w:rPr>
                <w:rFonts w:cstheme="minorHAnsi"/>
                <w:sz w:val="20"/>
                <w:szCs w:val="20"/>
                <w:lang w:val="sr-Cyrl-RS"/>
              </w:rPr>
              <w:t xml:space="preserve"> слободан пад</w:t>
            </w:r>
            <w:r w:rsidRPr="00FD0A3E">
              <w:rPr>
                <w:rFonts w:cstheme="minorHAnsi"/>
                <w:sz w:val="20"/>
                <w:szCs w:val="20"/>
                <w:lang w:val="sr-Cyrl-RS"/>
              </w:rPr>
              <w:t xml:space="preserve"> променљиво убрзано кретање без почетне брзине,</w:t>
            </w:r>
          </w:p>
          <w:p w:rsidR="006F16A6" w:rsidRPr="00D4301A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се упознају са појмом бестежинског стања</w:t>
            </w:r>
            <w:r w:rsidR="00FD0A3E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="006F16A6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FD0A3E" w:rsidRPr="00FD0A3E" w:rsidRDefault="00836B40" w:rsidP="00FD0A3E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за посматрање и </w:t>
            </w:r>
            <w:r w:rsidR="00FD0A3E">
              <w:rPr>
                <w:rFonts w:cstheme="minorHAnsi"/>
                <w:sz w:val="20"/>
                <w:szCs w:val="20"/>
                <w:lang w:val="sr-Cyrl-RS"/>
              </w:rPr>
              <w:t>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FD0A3E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F16A6" w:rsidRDefault="006F16A6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6F16A6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6F16A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разуме </w:t>
            </w:r>
            <w:r w:rsidR="00900C3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шта је то </w:t>
            </w:r>
            <w:r w:rsidR="00F5366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слободан пад</w:t>
            </w:r>
            <w:r w:rsidR="00900C3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тела,</w:t>
            </w:r>
          </w:p>
          <w:p w:rsidR="00E92BFA" w:rsidRDefault="00F53662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разуме да је слободан пад кретање тела до </w:t>
            </w:r>
            <w:r w:rsidR="006F16A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под деловањем силе Земљине теже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без почетне брзине</w:t>
            </w:r>
            <w:r w:rsidR="00900C3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14175" w:rsidRPr="00E14175" w:rsidRDefault="00F53662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 да тела која слободно падају немају тежину.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F53662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Динамометар, тег масе 100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val="sr-Cyrl-RS"/>
                </w:rPr>
                <m:t>g</m:t>
              </m:r>
            </m:oMath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0371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F53662">
              <w:rPr>
                <w:lang w:val="sr-Cyrl-RS"/>
              </w:rPr>
              <w:t xml:space="preserve"> 41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900C38">
              <w:rPr>
                <w:lang w:val="sr-Cyrl-RS"/>
              </w:rPr>
              <w:t xml:space="preserve"> реализације демонс</w:t>
            </w:r>
            <w:r w:rsidR="00A81897">
              <w:rPr>
                <w:lang w:val="sr-Cyrl-RS"/>
              </w:rPr>
              <w:t>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Након изведеног огледа, пре</w:t>
            </w:r>
            <w:r w:rsidR="0021438F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F53662" w:rsidRDefault="00F22492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наводи ученике на закључак да је </w:t>
            </w:r>
            <w:r w:rsidR="00F53662">
              <w:rPr>
                <w:lang w:val="sr-Cyrl-RS"/>
              </w:rPr>
              <w:t>слободан пад</w:t>
            </w:r>
            <w:r w:rsidR="0021438F">
              <w:rPr>
                <w:lang w:val="sr-Cyrl-RS"/>
              </w:rPr>
              <w:t>,</w:t>
            </w:r>
            <w:r w:rsidR="00F53662">
              <w:rPr>
                <w:lang w:val="sr-Cyrl-RS"/>
              </w:rPr>
              <w:t xml:space="preserve"> равномерно убрзан</w:t>
            </w:r>
            <w:r w:rsidR="0021438F">
              <w:rPr>
                <w:lang w:val="sr-Cyrl-RS"/>
              </w:rPr>
              <w:t>о кретање без почетне брзине под</w:t>
            </w:r>
            <w:r w:rsidR="00F53662">
              <w:rPr>
                <w:lang w:val="sr-Cyrl-RS"/>
              </w:rPr>
              <w:t xml:space="preserve"> деловањем силе Земљине теже.</w:t>
            </w:r>
          </w:p>
          <w:p w:rsidR="00F53662" w:rsidRDefault="00F53662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Брзина код слободног пада има облик:</w:t>
            </w:r>
          </w:p>
          <w:p w:rsidR="00F53662" w:rsidRPr="007817BE" w:rsidRDefault="007817BE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m:oMathPara>
              <m:oMath>
                <m:r>
                  <w:rPr>
                    <w:rFonts w:ascii="Cambria Math" w:eastAsia="MyriadPro-Bold" w:hAnsi="Cambria Math" w:cs="Times New Roman"/>
                    <w:sz w:val="23"/>
                    <w:szCs w:val="23"/>
                    <w:lang w:val="sr-Cyrl-RS"/>
                  </w:rPr>
                  <m:t>v = g·t</m:t>
                </m:r>
              </m:oMath>
            </m:oMathPara>
          </w:p>
          <w:p w:rsidR="00F53662" w:rsidRPr="007817BE" w:rsidRDefault="00F53662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7817BE">
              <w:rPr>
                <w:rFonts w:ascii="Times New Roman" w:eastAsia="MyriadPro-Bold" w:hAnsi="Times New Roman" w:cs="Times New Roman"/>
                <w:bCs/>
                <w:sz w:val="23"/>
                <w:szCs w:val="23"/>
                <w:lang w:val="sr-Cyrl-RS"/>
              </w:rPr>
              <w:t xml:space="preserve">Пређени пут од </w:t>
            </w:r>
            <w:r w:rsidR="0021438F">
              <w:rPr>
                <w:rFonts w:ascii="Times New Roman" w:eastAsia="MyriadPro-Bold" w:hAnsi="Times New Roman" w:cs="Times New Roman"/>
                <w:bCs/>
                <w:sz w:val="23"/>
                <w:szCs w:val="23"/>
                <w:lang w:val="sr-Cyrl-RS"/>
              </w:rPr>
              <w:t>места</w:t>
            </w:r>
            <w:r w:rsidRPr="007817BE">
              <w:rPr>
                <w:rFonts w:ascii="Times New Roman" w:eastAsia="MyriadPro-Bold" w:hAnsi="Times New Roman" w:cs="Times New Roman"/>
                <w:bCs/>
                <w:sz w:val="23"/>
                <w:szCs w:val="23"/>
                <w:lang w:val="sr-Cyrl-RS"/>
              </w:rPr>
              <w:t xml:space="preserve"> са којег је тело пуштено да слободно пада одређујемо помоћу релације: </w:t>
            </w:r>
          </w:p>
          <w:p w:rsidR="00F53662" w:rsidRPr="007817BE" w:rsidRDefault="007817BE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sr-Latn-RS"/>
                  </w:rPr>
                  <m:t>h</m:t>
                </m:r>
                <m:r>
                  <w:rPr>
                    <w:rFonts w:ascii="Cambria Math" w:hAnsi="Cambria Math" w:cs="Times New Roman"/>
                    <w:lang w:val="sr-Cyrl-RS"/>
                  </w:rPr>
                  <m:t xml:space="preserve"> = 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sr-Cyrl-R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sr-Cyrl-R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sr-Cyrl-RS"/>
                      </w:rPr>
                      <m:t>2</m:t>
                    </m:r>
                  </m:den>
                </m:f>
                <m:r>
                  <w:rPr>
                    <w:rFonts w:ascii="Cambria Math" w:hAnsi="Cambria Math" w:cs="Calibri"/>
                    <w:lang w:val="sr-Cyrl-RS"/>
                  </w:rPr>
                  <m:t>·</m:t>
                </m:r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g·t²</m:t>
                </m:r>
              </m:oMath>
            </m:oMathPara>
          </w:p>
          <w:p w:rsidR="00F53662" w:rsidRDefault="00F53662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>h – висина са које је тело пуштено</w:t>
            </w:r>
            <w:r w:rsidR="0021438F">
              <w:rPr>
                <w:rFonts w:ascii="Times New Roman" w:eastAsiaTheme="minorEastAsia" w:hAnsi="Times New Roman" w:cs="Times New Roman"/>
                <w:lang w:val="sr-Cyrl-RS"/>
              </w:rPr>
              <w:t xml:space="preserve"> да слободно пада</w:t>
            </w:r>
            <w:r w:rsidR="007817BE">
              <w:rPr>
                <w:rFonts w:ascii="Times New Roman" w:eastAsiaTheme="minorEastAsia" w:hAnsi="Times New Roman" w:cs="Times New Roman"/>
                <w:lang w:val="sr-Cyrl-RS"/>
              </w:rPr>
              <w:t>.</w:t>
            </w:r>
          </w:p>
          <w:p w:rsidR="00F53662" w:rsidRDefault="00F53662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>Време потребно телу које слободно пада да падне на тло, зависи само до висине са које је тело пуштено. Из релације :</w:t>
            </w:r>
          </w:p>
          <w:p w:rsidR="00F53662" w:rsidRPr="007817BE" w:rsidRDefault="00F53662" w:rsidP="007817BE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7817BE">
              <w:rPr>
                <w:rFonts w:ascii="Times New Roman" w:hAnsi="Times New Roman" w:cs="Times New Roman"/>
                <w:i/>
                <w:lang w:val="sr-Latn-RS"/>
              </w:rPr>
              <w:t>h</w:t>
            </w:r>
            <w:r w:rsidRPr="007817BE">
              <w:rPr>
                <w:rFonts w:ascii="Times New Roman" w:hAnsi="Times New Roman" w:cs="Times New Roman"/>
                <w:i/>
                <w:lang w:val="sr-Cyrl-RS"/>
              </w:rPr>
              <w:t xml:space="preserve"> = </w:t>
            </w:r>
            <m:oMath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sr-Cyrl-R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sr-Cyrl-RS"/>
                    </w:rPr>
                    <m:t>2·</m:t>
                  </m:r>
                </m:den>
              </m:f>
              <m:r>
                <w:rPr>
                  <w:rFonts w:ascii="Cambria Math" w:eastAsiaTheme="minorEastAsia" w:hAnsi="Cambria Math" w:cs="Times New Roman"/>
                  <w:lang w:val="sr-Cyrl-RS"/>
                </w:rPr>
                <m:t>g</m:t>
              </m:r>
            </m:oMath>
            <w:r w:rsidRPr="007817BE">
              <w:rPr>
                <w:rFonts w:ascii="Times New Roman" w:eastAsiaTheme="minorEastAsia" w:hAnsi="Times New Roman" w:cs="Times New Roman"/>
                <w:i/>
                <w:lang w:val="sr-Cyrl-RS"/>
              </w:rPr>
              <w:t>·t²</w:t>
            </w:r>
          </w:p>
          <w:p w:rsidR="00F53662" w:rsidRDefault="00F53662" w:rsidP="00F536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>можемо то и да покажемо, ако изразимо време из предходне једначине:</w:t>
            </w:r>
          </w:p>
          <w:p w:rsidR="00F53662" w:rsidRDefault="00F53662" w:rsidP="007817BE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t²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g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,  односно, t =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sr-Cyrl-R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h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g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sr-Cyrl-RS"/>
                    </w:rPr>
                    <m:t xml:space="preserve"> </m:t>
                  </m:r>
                </m:e>
              </m:rad>
            </m:oMath>
          </w:p>
          <w:p w:rsidR="007817BE" w:rsidRDefault="00F53662" w:rsidP="007817B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>Када тела падају са исте висине, време потребно да падну на тло биће једнако за оба тела.</w:t>
            </w:r>
          </w:p>
          <w:p w:rsidR="007817BE" w:rsidRDefault="007817BE" w:rsidP="007817B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7817BE" w:rsidRPr="007817BE" w:rsidRDefault="007817BE" w:rsidP="007817B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Приликом падања тела са неке висине тело нема тежину, јер не притиска никакаву подлогу и не затеже друго тело у тачки вешања. </w:t>
            </w:r>
            <w:r w:rsidR="0021438F">
              <w:rPr>
                <w:rFonts w:ascii="Times New Roman" w:eastAsiaTheme="minorEastAsia" w:hAnsi="Times New Roman" w:cs="Times New Roman"/>
                <w:lang w:val="sr-Cyrl-RS"/>
              </w:rPr>
              <w:t>За</w:t>
            </w: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 тело</w:t>
            </w:r>
            <w:r w:rsidR="0021438F">
              <w:rPr>
                <w:rFonts w:ascii="Times New Roman" w:eastAsiaTheme="minorEastAsia" w:hAnsi="Times New Roman" w:cs="Times New Roman"/>
                <w:lang w:val="sr-Cyrl-RS"/>
              </w:rPr>
              <w:t xml:space="preserve"> које се</w:t>
            </w: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 налази у слободном паду кажемо да </w:t>
            </w:r>
            <w:r w:rsidR="00C42AA9">
              <w:rPr>
                <w:rFonts w:ascii="Times New Roman" w:eastAsiaTheme="minorEastAsia" w:hAnsi="Times New Roman" w:cs="Times New Roman"/>
                <w:lang w:val="sr-Cyrl-RS"/>
              </w:rPr>
              <w:t xml:space="preserve">је у </w:t>
            </w:r>
            <w:bookmarkStart w:id="0" w:name="_GoBack"/>
            <w:bookmarkEnd w:id="0"/>
            <w:r w:rsidRPr="007817BE">
              <w:rPr>
                <w:rFonts w:ascii="Times New Roman" w:eastAsiaTheme="minorEastAsia" w:hAnsi="Times New Roman" w:cs="Times New Roman"/>
                <w:lang w:val="sr-Cyrl-RS"/>
              </w:rPr>
              <w:t>бестежинском стању.</w:t>
            </w:r>
          </w:p>
          <w:p w:rsidR="007817BE" w:rsidRPr="0083509C" w:rsidRDefault="007817BE" w:rsidP="007817B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7817BE" w:rsidP="007D6CCE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демонстрационог огледа из уџбеника са стране 42. наставник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21438F"/>
    <w:rsid w:val="00224942"/>
    <w:rsid w:val="002256EA"/>
    <w:rsid w:val="00246989"/>
    <w:rsid w:val="002D7ADC"/>
    <w:rsid w:val="0030371E"/>
    <w:rsid w:val="00331335"/>
    <w:rsid w:val="00353E09"/>
    <w:rsid w:val="004B4B7E"/>
    <w:rsid w:val="00521BFC"/>
    <w:rsid w:val="00591358"/>
    <w:rsid w:val="00654812"/>
    <w:rsid w:val="006F16A6"/>
    <w:rsid w:val="007804CD"/>
    <w:rsid w:val="007817BE"/>
    <w:rsid w:val="007B6B2E"/>
    <w:rsid w:val="007D6CCE"/>
    <w:rsid w:val="007E0C98"/>
    <w:rsid w:val="008213B1"/>
    <w:rsid w:val="0083509C"/>
    <w:rsid w:val="00836B40"/>
    <w:rsid w:val="00877393"/>
    <w:rsid w:val="00883E2B"/>
    <w:rsid w:val="00900C38"/>
    <w:rsid w:val="00932AC9"/>
    <w:rsid w:val="00956FF8"/>
    <w:rsid w:val="009E07F4"/>
    <w:rsid w:val="00A81897"/>
    <w:rsid w:val="00B43256"/>
    <w:rsid w:val="00B72D37"/>
    <w:rsid w:val="00B816AA"/>
    <w:rsid w:val="00C42AA9"/>
    <w:rsid w:val="00D349B0"/>
    <w:rsid w:val="00D37F65"/>
    <w:rsid w:val="00D4301A"/>
    <w:rsid w:val="00D77B1E"/>
    <w:rsid w:val="00DA2FB4"/>
    <w:rsid w:val="00E14175"/>
    <w:rsid w:val="00E35BC7"/>
    <w:rsid w:val="00E4769C"/>
    <w:rsid w:val="00E92BFA"/>
    <w:rsid w:val="00F074AF"/>
    <w:rsid w:val="00F22492"/>
    <w:rsid w:val="00F431A1"/>
    <w:rsid w:val="00F53662"/>
    <w:rsid w:val="00FD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CC03B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2025-06-08T12:13:00Z</dcterms:created>
  <dcterms:modified xsi:type="dcterms:W3CDTF">2025-06-11T04:02:00Z</dcterms:modified>
</cp:coreProperties>
</file>